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3CE1" w14:textId="77777777" w:rsidR="001430A6" w:rsidRDefault="001430A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430A6" w14:paraId="045DC039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003174E2" w14:textId="77777777" w:rsidR="001430A6" w:rsidRDefault="0000000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TOPLANTI TUTANAĞI</w:t>
            </w:r>
          </w:p>
        </w:tc>
      </w:tr>
      <w:tr w:rsidR="001430A6" w14:paraId="1155417A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1BA3EE14" w14:textId="77777777" w:rsidR="001430A6" w:rsidRDefault="0000000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AF12CEC" w14:textId="765BB0EC" w:rsidR="001430A6" w:rsidRDefault="009C5BE5" w:rsidP="009C5BE5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Sağlık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Bakanlığı Kamu Hastaneleri Genel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Müdürlüğü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tarafından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Doğal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Olan Normal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Doğum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temasıyla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yürütülen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“Normal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Doğum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Eylem </w:t>
            </w:r>
            <w:proofErr w:type="spellStart"/>
            <w:proofErr w:type="gram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Planı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”;</w:t>
            </w:r>
            <w:proofErr w:type="gram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Ebelik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Eğitimlerinin</w:t>
            </w:r>
            <w:proofErr w:type="spellEnd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5B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Güçlendirilmesi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eğitimi</w:t>
            </w:r>
            <w:proofErr w:type="spellEnd"/>
          </w:p>
        </w:tc>
      </w:tr>
      <w:tr w:rsidR="001430A6" w14:paraId="6C80D1EB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0EBD9833" w14:textId="77777777" w:rsidR="001430A6" w:rsidRDefault="0000000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1A849CD2" w14:textId="70952568" w:rsidR="001430A6" w:rsidRDefault="009C5BE5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14-18.04.2025</w:t>
            </w:r>
          </w:p>
        </w:tc>
      </w:tr>
      <w:tr w:rsidR="001430A6" w14:paraId="228E229D" w14:textId="77777777" w:rsidTr="001430A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250215F7" w14:textId="77777777" w:rsidR="001430A6" w:rsidRDefault="0000000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5C11664B" w14:textId="7B3B9178" w:rsidR="001430A6" w:rsidRDefault="009C5BE5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09:00-16:00</w:t>
            </w:r>
          </w:p>
        </w:tc>
      </w:tr>
      <w:tr w:rsidR="001430A6" w14:paraId="3C38CE57" w14:textId="77777777" w:rsidTr="001430A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41D2B2EF" w14:textId="77777777" w:rsidR="001430A6" w:rsidRDefault="0000000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4B2742C1" w14:textId="3748A8B9" w:rsidR="001430A6" w:rsidRDefault="007B033F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Yüzyüze</w:t>
            </w:r>
            <w:proofErr w:type="spellEnd"/>
          </w:p>
        </w:tc>
      </w:tr>
    </w:tbl>
    <w:p w14:paraId="6A50AC7B" w14:textId="77777777" w:rsidR="001430A6" w:rsidRDefault="001430A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30A6" w14:paraId="7897C24B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2F2F2" w:themeFill="background1" w:themeFillShade="F2"/>
            <w:vAlign w:val="center"/>
          </w:tcPr>
          <w:p w14:paraId="33F5D276" w14:textId="77777777" w:rsidR="001430A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GÜNDEM</w:t>
            </w:r>
          </w:p>
        </w:tc>
      </w:tr>
      <w:tr w:rsidR="001430A6" w14:paraId="773E6D97" w14:textId="77777777" w:rsidTr="00143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auto"/>
            <w:vAlign w:val="center"/>
          </w:tcPr>
          <w:p w14:paraId="7105B7BF" w14:textId="5B66CD2A" w:rsidR="001430A6" w:rsidRPr="0024283F" w:rsidRDefault="009C5BE5" w:rsidP="00B138DB">
            <w:pPr>
              <w:pStyle w:val="NoSpacing"/>
              <w:spacing w:line="360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  <w:r w:rsidRPr="009C5BE5">
              <w:rPr>
                <w:rFonts w:ascii="Cambria" w:hAnsi="Cambria" w:cs="Times New Roman"/>
              </w:rPr>
              <w:t xml:space="preserve">Sağlık Bakanlığı Kamu Hastaneleri Genel Müdürlüğü tarafından “Doğal Olan Normal Doğum” temasıyla yürütülen “Normal Doğum Eylem </w:t>
            </w:r>
            <w:proofErr w:type="gramStart"/>
            <w:r w:rsidRPr="009C5BE5">
              <w:rPr>
                <w:rFonts w:ascii="Cambria" w:hAnsi="Cambria" w:cs="Times New Roman"/>
              </w:rPr>
              <w:t>Planı”;</w:t>
            </w:r>
            <w:proofErr w:type="gramEnd"/>
            <w:r w:rsidRPr="009C5BE5">
              <w:rPr>
                <w:rFonts w:ascii="Cambria" w:hAnsi="Cambria" w:cs="Times New Roman"/>
              </w:rPr>
              <w:t xml:space="preserve"> Ebelik Eğitimlerinin Güçlendirilmesi</w:t>
            </w:r>
            <w:r>
              <w:rPr>
                <w:rFonts w:ascii="Cambria" w:hAnsi="Cambria" w:cs="Times New Roman"/>
              </w:rPr>
              <w:t xml:space="preserve"> </w:t>
            </w:r>
            <w:r w:rsidR="0024283F" w:rsidRPr="0024283F">
              <w:rPr>
                <w:rFonts w:ascii="Cambria" w:hAnsi="Cambria" w:cs="Times New Roman"/>
              </w:rPr>
              <w:t xml:space="preserve">başlıklı </w:t>
            </w:r>
            <w:r>
              <w:rPr>
                <w:rFonts w:ascii="Cambria" w:hAnsi="Cambria" w:cs="Times New Roman"/>
              </w:rPr>
              <w:t>eğitim</w:t>
            </w:r>
            <w:r w:rsidR="0024283F" w:rsidRPr="0024283F">
              <w:rPr>
                <w:rFonts w:ascii="Cambria" w:hAnsi="Cambria" w:cs="Times New Roman"/>
              </w:rPr>
              <w:t xml:space="preserve"> için </w:t>
            </w:r>
            <w:r w:rsidR="002F7E73" w:rsidRPr="0024283F">
              <w:rPr>
                <w:rFonts w:ascii="Cambria" w:hAnsi="Cambria" w:cs="Times New Roman"/>
              </w:rPr>
              <w:t>gündem maddeleri aşağıdaki şekli ile sıralanmıştır:</w:t>
            </w:r>
          </w:p>
          <w:p w14:paraId="1CDD2D5E" w14:textId="1B19FF15" w:rsidR="0024283F" w:rsidRPr="00473F3E" w:rsidRDefault="009C5BE5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</w:pPr>
            <w:r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Eğitimde eğitici olarak görevlendirilen Dr. Öğretim Üyesi Nükhet Kaçar’ın görev yazısının Çankırı İl Sağlık Müdürlüğü tarafından Çankırı Karatekin Üniversitesi’ne bildirilmesi</w:t>
            </w:r>
            <w:r w:rsidR="0024283F" w:rsidRPr="0024283F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,</w:t>
            </w:r>
          </w:p>
          <w:p w14:paraId="6BE77848" w14:textId="77777777" w:rsidR="00473F3E" w:rsidRPr="0024283F" w:rsidRDefault="00473F3E" w:rsidP="00473F3E">
            <w:pPr>
              <w:pStyle w:val="NoSpacing"/>
              <w:spacing w:line="276" w:lineRule="auto"/>
              <w:jc w:val="both"/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</w:pPr>
          </w:p>
          <w:p w14:paraId="08887D5F" w14:textId="0F08C6E4" w:rsidR="00814A91" w:rsidRPr="009C5BE5" w:rsidRDefault="009C5BE5" w:rsidP="009C5BE5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</w:pP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Dr. Öğretim Üyesi Nükhet Kaçar’ın 14-18 Nisan 2025 tarihlerinde Çankırı İl Sağlık Müdürlüğü’ne bağlı Çankırı Devlet Hastanesi’nde, </w:t>
            </w:r>
            <w:r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(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Çankırı Devlet Hastanesi, Ilgaz Devlet Hastanesi, Kurşunlu Devlet Hastanesi, Çerkeş Devlet Hastanesi, Kızılırmak İlçe Devlet Hastanesi, Şabanözü İlçe Devlet Hastanesi, Orta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 İlçe Devlet Hastanesi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, Atkaracalar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 İlçe Devlet Hastanesi</w:t>
            </w:r>
            <w:r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) Çankırı il ve ilçelerde görevli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r w:rsidR="00473F3E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toplam 21 ebeye, 1 (bir) oturumda 3 gün teorik ve 2 gün pratik olmak üzere 5 gün eğitim 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vermesi</w:t>
            </w:r>
            <w:r w:rsidR="00473F3E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.</w:t>
            </w:r>
          </w:p>
        </w:tc>
      </w:tr>
    </w:tbl>
    <w:p w14:paraId="30FF3005" w14:textId="77777777" w:rsidR="001430A6" w:rsidRDefault="001430A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30A6" w14:paraId="1F6EA82D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2F2F2" w:themeFill="background1" w:themeFillShade="F2"/>
            <w:vAlign w:val="center"/>
          </w:tcPr>
          <w:p w14:paraId="48E1F487" w14:textId="77777777" w:rsidR="001430A6" w:rsidRDefault="00000000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TOPLANTI KARARLARI</w:t>
            </w:r>
          </w:p>
        </w:tc>
      </w:tr>
      <w:tr w:rsidR="001430A6" w14:paraId="71D2A972" w14:textId="77777777" w:rsidTr="001430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auto"/>
            <w:vAlign w:val="center"/>
          </w:tcPr>
          <w:p w14:paraId="7336849C" w14:textId="77777777" w:rsidR="001430A6" w:rsidRPr="00B138DB" w:rsidRDefault="00000000">
            <w:pPr>
              <w:pStyle w:val="NoSpacing"/>
              <w:spacing w:line="276" w:lineRule="auto"/>
              <w:jc w:val="both"/>
              <w:rPr>
                <w:rFonts w:ascii="Cambria" w:hAnsi="Cambria" w:cs="Times New Roman"/>
              </w:rPr>
            </w:pPr>
            <w:r w:rsidRPr="00B138DB">
              <w:rPr>
                <w:rFonts w:ascii="Cambria" w:hAnsi="Cambria" w:cs="Times New Roman"/>
                <w:u w:val="single"/>
              </w:rPr>
              <w:t>KARAR 1:</w:t>
            </w:r>
            <w:r w:rsidRPr="00B138DB">
              <w:rPr>
                <w:rFonts w:ascii="Cambria" w:hAnsi="Cambria" w:cs="Times New Roman"/>
              </w:rPr>
              <w:t xml:space="preserve"> </w:t>
            </w:r>
          </w:p>
          <w:p w14:paraId="027C6151" w14:textId="440CC4FC" w:rsidR="0092531B" w:rsidRPr="0024283F" w:rsidRDefault="0092531B" w:rsidP="0092531B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</w:pPr>
            <w:r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Eğitimde eğitici olarak görevlendirilen Dr. Öğretim Üyesi Nükhet Kaçar’ın görev yazıs</w:t>
            </w:r>
            <w:r w:rsidR="00473F3E"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 xml:space="preserve">ı </w:t>
            </w:r>
            <w:r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Çankırı İl Sağlık Müdürlüğü tarafından Çankırı Karatekin Üniversitesi’ne bildiril</w:t>
            </w:r>
            <w:r>
              <w:rPr>
                <w:rFonts w:ascii="Cambria" w:hAnsi="Cambria" w:cs="Times New Roman"/>
                <w:b w:val="0"/>
                <w:color w:val="222222"/>
                <w:shd w:val="clear" w:color="auto" w:fill="FFFFFF"/>
              </w:rPr>
              <w:t>di.</w:t>
            </w:r>
          </w:p>
          <w:p w14:paraId="24789A55" w14:textId="77777777" w:rsidR="0024283F" w:rsidRPr="0024283F" w:rsidRDefault="0024283F" w:rsidP="0024283F">
            <w:pPr>
              <w:pStyle w:val="NoSpacing"/>
              <w:tabs>
                <w:tab w:val="left" w:pos="420"/>
              </w:tabs>
              <w:spacing w:line="276" w:lineRule="auto"/>
              <w:ind w:left="360"/>
              <w:jc w:val="both"/>
              <w:rPr>
                <w:rFonts w:ascii="Cambria" w:hAnsi="Cambria"/>
                <w:b w:val="0"/>
                <w:iCs/>
                <w:color w:val="222222"/>
                <w:shd w:val="clear" w:color="auto" w:fill="FFFFFF"/>
              </w:rPr>
            </w:pPr>
          </w:p>
          <w:p w14:paraId="1F207703" w14:textId="77777777" w:rsidR="001430A6" w:rsidRPr="00B138DB" w:rsidRDefault="00000000">
            <w:pPr>
              <w:pStyle w:val="NoSpacing"/>
              <w:spacing w:line="276" w:lineRule="auto"/>
              <w:jc w:val="both"/>
              <w:rPr>
                <w:rFonts w:ascii="Cambria" w:hAnsi="Cambria" w:cs="Times New Roman"/>
                <w:bCs w:val="0"/>
                <w:iCs/>
                <w:color w:val="222222"/>
                <w:u w:val="single"/>
                <w:shd w:val="clear" w:color="auto" w:fill="FFFFFF"/>
              </w:rPr>
            </w:pPr>
            <w:r w:rsidRPr="00B138DB">
              <w:rPr>
                <w:rFonts w:ascii="Cambria" w:hAnsi="Cambria" w:cs="Times New Roman"/>
                <w:bCs w:val="0"/>
                <w:iCs/>
                <w:color w:val="222222"/>
                <w:u w:val="single"/>
                <w:shd w:val="clear" w:color="auto" w:fill="FFFFFF"/>
              </w:rPr>
              <w:t>KARAR 2:</w:t>
            </w:r>
          </w:p>
          <w:p w14:paraId="51AF0C0C" w14:textId="2CA81455" w:rsidR="00DA20BA" w:rsidRPr="00DA20BA" w:rsidRDefault="0092531B" w:rsidP="0092531B">
            <w:pPr>
              <w:pStyle w:val="NoSpacing"/>
              <w:numPr>
                <w:ilvl w:val="0"/>
                <w:numId w:val="6"/>
              </w:numPr>
              <w:tabs>
                <w:tab w:val="left" w:pos="420"/>
              </w:tabs>
              <w:spacing w:line="276" w:lineRule="auto"/>
              <w:jc w:val="both"/>
              <w:rPr>
                <w:rFonts w:ascii="Cambria" w:hAnsi="Cambria" w:cs="Times New Roman"/>
                <w:bCs w:val="0"/>
                <w:color w:val="222222"/>
                <w:shd w:val="clear" w:color="auto" w:fill="FFFFFF"/>
              </w:rPr>
            </w:pP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Dr. Öğretim Üyesi Nükhet Kaçar’ın 14-18 Nisan 2025 tarihlerinde Çankırı İl Sağlık Müdürlüğü’ne bağlı Çankırı Devlet Hastanesi’nde, </w:t>
            </w:r>
            <w:r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(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Çankırı Devlet Hastanesi, Ilgaz Devlet Hastanesi, Kurşunlu Devlet Hastanesi, Çerkeş Devlet Hastanesi, Kızılırmak İlçe Devlet Hastanesi, Şabanözü İlçe Devlet Hastanesi, Orta İlçe Devlet Hastanesi, Atkaracalar İlçe Devlet Hastanesi</w:t>
            </w:r>
            <w:r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) Çankırı il ve ilçelerde görevli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r w:rsidR="00473F3E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21 ebeye,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 </w:t>
            </w:r>
            <w:r w:rsidR="00473F3E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1 (bir) oturumda 3 gün teorik ve 2 gün pratik olmak üzere 5 gün </w:t>
            </w:r>
            <w:r w:rsidRPr="009C5BE5"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 xml:space="preserve">eğitim </w:t>
            </w:r>
            <w:r>
              <w:rPr>
                <w:rFonts w:ascii="Cambria" w:hAnsi="Cambria" w:cs="Times New Roman"/>
                <w:b w:val="0"/>
                <w:bCs w:val="0"/>
                <w:color w:val="222222"/>
                <w:shd w:val="clear" w:color="auto" w:fill="FFFFFF"/>
              </w:rPr>
              <w:t>verdi.</w:t>
            </w:r>
          </w:p>
          <w:p w14:paraId="6B972979" w14:textId="77777777" w:rsidR="00814A91" w:rsidRDefault="00814A91" w:rsidP="00814A91">
            <w:pPr>
              <w:pStyle w:val="NoSpacing"/>
              <w:spacing w:line="276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</w:p>
          <w:p w14:paraId="35FD4EF6" w14:textId="4F663D65" w:rsidR="001430A6" w:rsidRDefault="00000000">
            <w:pPr>
              <w:spacing w:after="0" w:line="276" w:lineRule="auto"/>
              <w:ind w:left="720"/>
              <w:jc w:val="both"/>
              <w:rPr>
                <w:rFonts w:ascii="Cambria" w:hAnsi="Cambria" w:cs="Times New Roman"/>
                <w:b w:val="0"/>
                <w:bCs w:val="0"/>
              </w:rPr>
            </w:pPr>
            <w:r>
              <w:rPr>
                <w:rFonts w:ascii="Cambria" w:hAnsi="Cambria" w:cs="Times New Roman"/>
              </w:rPr>
              <w:t>Toplantıya ait görseller aşağıda paylaşılmıştır</w:t>
            </w:r>
            <w:r w:rsidR="00C43756">
              <w:rPr>
                <w:rFonts w:ascii="Cambria" w:hAnsi="Cambria" w:cs="Times New Roman"/>
              </w:rPr>
              <w:t>:</w:t>
            </w:r>
          </w:p>
          <w:p w14:paraId="5DE41DBA" w14:textId="77777777" w:rsidR="0028503E" w:rsidRDefault="0028503E" w:rsidP="0024283F">
            <w:pPr>
              <w:spacing w:after="0" w:line="276" w:lineRule="auto"/>
              <w:jc w:val="both"/>
              <w:rPr>
                <w:rFonts w:ascii="Cambria" w:hAnsi="Cambria" w:cs="Times New Roman"/>
                <w:b w:val="0"/>
                <w:bCs w:val="0"/>
              </w:rPr>
            </w:pPr>
          </w:p>
          <w:p w14:paraId="124D5362" w14:textId="540C857A" w:rsidR="0083603E" w:rsidRPr="00473F3E" w:rsidRDefault="00473F3E" w:rsidP="0024283F">
            <w:pPr>
              <w:spacing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EBFDE0" wp14:editId="302854A7">
                  <wp:extent cx="4981575" cy="3736440"/>
                  <wp:effectExtent l="0" t="0" r="0" b="0"/>
                  <wp:docPr id="6005229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832" cy="3739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7758DC" wp14:editId="099B9178">
                  <wp:extent cx="4981575" cy="3736440"/>
                  <wp:effectExtent l="0" t="0" r="0" b="0"/>
                  <wp:docPr id="3553843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518" cy="378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1998CBA3" wp14:editId="265E4576">
                  <wp:extent cx="5166183" cy="3419287"/>
                  <wp:effectExtent l="0" t="0" r="0" b="0"/>
                  <wp:docPr id="12639490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0008" cy="342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AF2D5" w14:textId="392EF13E" w:rsidR="0083603E" w:rsidRDefault="0083603E" w:rsidP="002428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9BB72F9" w14:textId="77777777" w:rsidR="001430A6" w:rsidRDefault="001430A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1430A6" w14:paraId="20FDEF5F" w14:textId="77777777" w:rsidTr="00143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7369E56" w14:textId="77777777" w:rsidR="001430A6" w:rsidRDefault="0000000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6527F4" w14:textId="736806AB" w:rsidR="001430A6" w:rsidRDefault="0092531B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Nükhet Kaçar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BA85E6" w14:textId="77777777" w:rsidR="001430A6" w:rsidRDefault="00000000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F7C42" w14:textId="561B71C5" w:rsidR="001430A6" w:rsidRDefault="001430A6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3EB031" w14:textId="77777777" w:rsidR="001430A6" w:rsidRDefault="00000000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A14D3" w14:textId="70688564" w:rsidR="001430A6" w:rsidRDefault="001430A6">
            <w:pPr>
              <w:pStyle w:val="NoSpacing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1430A6" w14:paraId="55A8ACFD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48D4C7C8" w14:textId="77777777" w:rsidR="001430A6" w:rsidRDefault="0000000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26012D4F" w14:textId="6A4D6F3C" w:rsidR="001430A6" w:rsidRDefault="0092531B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 Öğretim Üyesi</w:t>
            </w:r>
            <w:r w:rsidR="009C5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633E786" w14:textId="77777777" w:rsidR="001430A6" w:rsidRDefault="00000000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6045BF84" w14:textId="75E86B47" w:rsidR="001430A6" w:rsidRDefault="001430A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ED121DD" w14:textId="77777777" w:rsidR="001430A6" w:rsidRDefault="00000000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680CFF3D" w14:textId="74D23E3E" w:rsidR="001430A6" w:rsidRDefault="001430A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30A6" w14:paraId="1A9A3B1A" w14:textId="77777777" w:rsidTr="001430A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430139FB" w14:textId="77777777" w:rsidR="001430A6" w:rsidRDefault="0000000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İmza</w:t>
            </w:r>
          </w:p>
        </w:tc>
        <w:tc>
          <w:tcPr>
            <w:tcW w:w="1672" w:type="dxa"/>
            <w:shd w:val="clear" w:color="auto" w:fill="auto"/>
          </w:tcPr>
          <w:p w14:paraId="211A2462" w14:textId="77777777" w:rsidR="001430A6" w:rsidRDefault="001430A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F2810C" w14:textId="77777777" w:rsidR="001430A6" w:rsidRDefault="001430A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C4D5ABD" w14:textId="77777777" w:rsidR="001430A6" w:rsidRDefault="00000000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2E9ED30A" w14:textId="77777777" w:rsidR="001430A6" w:rsidRDefault="001430A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E12F0F7" w14:textId="77777777" w:rsidR="001430A6" w:rsidRDefault="00000000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29F0EBFE" w14:textId="77777777" w:rsidR="001430A6" w:rsidRDefault="001430A6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DA2765" w14:textId="77777777" w:rsidR="001430A6" w:rsidRDefault="0000000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F91AA" w14:textId="77777777" w:rsidR="001430A6" w:rsidRDefault="001430A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0582A" w14:textId="77777777" w:rsidR="00DA20BA" w:rsidRDefault="00DA20B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20BA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A5E8" w14:textId="77777777" w:rsidR="00611106" w:rsidRDefault="00611106">
      <w:pPr>
        <w:spacing w:line="240" w:lineRule="auto"/>
      </w:pPr>
      <w:r>
        <w:separator/>
      </w:r>
    </w:p>
  </w:endnote>
  <w:endnote w:type="continuationSeparator" w:id="0">
    <w:p w14:paraId="27D1D5C3" w14:textId="77777777" w:rsidR="00611106" w:rsidRDefault="00611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8BCD" w14:textId="77777777" w:rsidR="001430A6" w:rsidRDefault="00143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17F8" w14:textId="77777777" w:rsidR="001430A6" w:rsidRDefault="00143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19E42" w14:textId="77777777" w:rsidR="00611106" w:rsidRDefault="00611106">
      <w:pPr>
        <w:spacing w:after="0"/>
      </w:pPr>
      <w:r>
        <w:separator/>
      </w:r>
    </w:p>
  </w:footnote>
  <w:footnote w:type="continuationSeparator" w:id="0">
    <w:p w14:paraId="37090F6C" w14:textId="77777777" w:rsidR="00611106" w:rsidRDefault="00611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5B3E0" w14:textId="77777777" w:rsidR="001430A6" w:rsidRDefault="00143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1430A6" w14:paraId="40324C0A" w14:textId="77777777">
      <w:trPr>
        <w:trHeight w:val="189"/>
      </w:trPr>
      <w:tc>
        <w:tcPr>
          <w:tcW w:w="1384" w:type="dxa"/>
          <w:vMerge w:val="restart"/>
        </w:tcPr>
        <w:p w14:paraId="378CA123" w14:textId="77777777" w:rsidR="001430A6" w:rsidRDefault="00000000">
          <w:pPr>
            <w:pStyle w:val="Header"/>
            <w:ind w:left="-115" w:right="-110"/>
            <w:jc w:val="center"/>
            <w:rPr>
              <w:color w:val="002060"/>
            </w:rPr>
          </w:pPr>
          <w:r>
            <w:rPr>
              <w:rFonts w:ascii="Times New Roman" w:hAnsi="Times New Roman"/>
              <w:noProof/>
              <w:color w:val="002060"/>
              <w:sz w:val="20"/>
              <w:szCs w:val="20"/>
              <w:lang w:eastAsia="tr-TR"/>
            </w:rPr>
            <w:drawing>
              <wp:inline distT="0" distB="0" distL="0" distR="0" wp14:anchorId="1F14D2CD" wp14:editId="7CE7BD70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290E9747" w14:textId="77777777" w:rsidR="001430A6" w:rsidRDefault="00000000">
          <w:pPr>
            <w:tabs>
              <w:tab w:val="center" w:pos="4270"/>
            </w:tabs>
            <w:spacing w:before="4" w:after="0" w:line="240" w:lineRule="auto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2FCE5749" w14:textId="77777777" w:rsidR="001430A6" w:rsidRDefault="00000000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19F752DB" w14:textId="77777777" w:rsidR="001430A6" w:rsidRDefault="00000000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SBF-TN-01</w:t>
          </w:r>
        </w:p>
      </w:tc>
    </w:tr>
    <w:tr w:rsidR="001430A6" w14:paraId="6F1D4827" w14:textId="77777777">
      <w:trPr>
        <w:trHeight w:val="187"/>
      </w:trPr>
      <w:tc>
        <w:tcPr>
          <w:tcW w:w="1384" w:type="dxa"/>
          <w:vMerge/>
        </w:tcPr>
        <w:p w14:paraId="649BE31D" w14:textId="77777777" w:rsidR="001430A6" w:rsidRDefault="001430A6">
          <w:pPr>
            <w:pStyle w:val="Header"/>
            <w:rPr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B64B450" w14:textId="77777777" w:rsidR="001430A6" w:rsidRDefault="001430A6">
          <w:pPr>
            <w:pStyle w:val="Header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716646AA" w14:textId="77777777" w:rsidR="001430A6" w:rsidRDefault="00000000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7BB1CD48" w14:textId="77777777" w:rsidR="001430A6" w:rsidRDefault="00000000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18.02.2025</w:t>
          </w:r>
        </w:p>
      </w:tc>
    </w:tr>
    <w:tr w:rsidR="001430A6" w14:paraId="00F0C2D7" w14:textId="77777777">
      <w:trPr>
        <w:trHeight w:val="187"/>
      </w:trPr>
      <w:tc>
        <w:tcPr>
          <w:tcW w:w="1384" w:type="dxa"/>
          <w:vMerge/>
        </w:tcPr>
        <w:p w14:paraId="5165E9E4" w14:textId="77777777" w:rsidR="001430A6" w:rsidRDefault="001430A6">
          <w:pPr>
            <w:pStyle w:val="Header"/>
            <w:rPr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DCAB50E" w14:textId="77777777" w:rsidR="001430A6" w:rsidRDefault="001430A6">
          <w:pPr>
            <w:pStyle w:val="Header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7490C322" w14:textId="77777777" w:rsidR="001430A6" w:rsidRDefault="00000000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709AE284" w14:textId="77777777" w:rsidR="001430A6" w:rsidRDefault="00000000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430A6" w14:paraId="70843AAA" w14:textId="77777777">
      <w:trPr>
        <w:trHeight w:val="220"/>
      </w:trPr>
      <w:tc>
        <w:tcPr>
          <w:tcW w:w="1384" w:type="dxa"/>
          <w:vMerge/>
        </w:tcPr>
        <w:p w14:paraId="2F6F6056" w14:textId="77777777" w:rsidR="001430A6" w:rsidRDefault="001430A6">
          <w:pPr>
            <w:pStyle w:val="Header"/>
            <w:rPr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ECF9FDA" w14:textId="77777777" w:rsidR="001430A6" w:rsidRDefault="001430A6">
          <w:pPr>
            <w:pStyle w:val="Header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5E346704" w14:textId="77777777" w:rsidR="001430A6" w:rsidRDefault="00000000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1B60ED81" w14:textId="77777777" w:rsidR="001430A6" w:rsidRDefault="00000000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1430A6" w14:paraId="67510CEC" w14:textId="77777777">
      <w:trPr>
        <w:trHeight w:val="220"/>
      </w:trPr>
      <w:tc>
        <w:tcPr>
          <w:tcW w:w="1384" w:type="dxa"/>
          <w:vMerge/>
        </w:tcPr>
        <w:p w14:paraId="1BCB6C91" w14:textId="77777777" w:rsidR="001430A6" w:rsidRDefault="001430A6">
          <w:pPr>
            <w:pStyle w:val="Header"/>
            <w:rPr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6610C439" w14:textId="77777777" w:rsidR="001430A6" w:rsidRDefault="001430A6">
          <w:pPr>
            <w:pStyle w:val="Header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C44BED6" w14:textId="77777777" w:rsidR="001430A6" w:rsidRDefault="00000000">
          <w:pPr>
            <w:pStyle w:val="Header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6459E272" w14:textId="77777777" w:rsidR="001430A6" w:rsidRDefault="00000000">
          <w:pPr>
            <w:pStyle w:val="Header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1430A6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4</w:t>
            </w:r>
          </w:fldSimple>
        </w:p>
      </w:tc>
    </w:tr>
  </w:tbl>
  <w:p w14:paraId="2B69ADF3" w14:textId="77777777" w:rsidR="001430A6" w:rsidRDefault="001430A6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1099" w14:textId="77777777" w:rsidR="001430A6" w:rsidRDefault="00143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F1F5B2"/>
    <w:multiLevelType w:val="singleLevel"/>
    <w:tmpl w:val="ACF1F5B2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abstractNum w:abstractNumId="1" w15:restartNumberingAfterBreak="0">
    <w:nsid w:val="AD6EEFB0"/>
    <w:multiLevelType w:val="singleLevel"/>
    <w:tmpl w:val="AD6EEFB0"/>
    <w:lvl w:ilvl="0">
      <w:start w:val="1"/>
      <w:numFmt w:val="lowerLetter"/>
      <w:lvlText w:val="%1)"/>
      <w:lvlJc w:val="left"/>
      <w:pPr>
        <w:tabs>
          <w:tab w:val="left" w:pos="420"/>
        </w:tabs>
        <w:ind w:left="420" w:hanging="420"/>
      </w:pPr>
      <w:rPr>
        <w:rFonts w:ascii="Cambria" w:eastAsiaTheme="minorHAnsi" w:hAnsi="Cambria" w:cs="Times New Roman"/>
        <w:b w:val="0"/>
        <w:bCs/>
      </w:rPr>
    </w:lvl>
  </w:abstractNum>
  <w:abstractNum w:abstractNumId="2" w15:restartNumberingAfterBreak="0">
    <w:nsid w:val="3465418B"/>
    <w:multiLevelType w:val="hybridMultilevel"/>
    <w:tmpl w:val="E6BEA4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13B21"/>
    <w:multiLevelType w:val="hybridMultilevel"/>
    <w:tmpl w:val="42A66FC6"/>
    <w:lvl w:ilvl="0" w:tplc="62FA88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815"/>
    <w:multiLevelType w:val="multilevel"/>
    <w:tmpl w:val="4FB80815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F6980"/>
    <w:multiLevelType w:val="hybridMultilevel"/>
    <w:tmpl w:val="FA809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573060">
    <w:abstractNumId w:val="0"/>
  </w:num>
  <w:num w:numId="2" w16cid:durableId="1890416169">
    <w:abstractNumId w:val="4"/>
  </w:num>
  <w:num w:numId="3" w16cid:durableId="473302414">
    <w:abstractNumId w:val="1"/>
  </w:num>
  <w:num w:numId="4" w16cid:durableId="888683363">
    <w:abstractNumId w:val="5"/>
  </w:num>
  <w:num w:numId="5" w16cid:durableId="1368141225">
    <w:abstractNumId w:val="2"/>
  </w:num>
  <w:num w:numId="6" w16cid:durableId="1963993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388"/>
    <w:rsid w:val="00006C5A"/>
    <w:rsid w:val="000117E3"/>
    <w:rsid w:val="00022E97"/>
    <w:rsid w:val="00043F53"/>
    <w:rsid w:val="00062F88"/>
    <w:rsid w:val="00067DF5"/>
    <w:rsid w:val="00071295"/>
    <w:rsid w:val="00086377"/>
    <w:rsid w:val="000B0218"/>
    <w:rsid w:val="000B2D5E"/>
    <w:rsid w:val="000B308C"/>
    <w:rsid w:val="000B5629"/>
    <w:rsid w:val="000D018C"/>
    <w:rsid w:val="000F3308"/>
    <w:rsid w:val="00106FFA"/>
    <w:rsid w:val="001430A6"/>
    <w:rsid w:val="00155B23"/>
    <w:rsid w:val="00155EF5"/>
    <w:rsid w:val="00164950"/>
    <w:rsid w:val="0016547C"/>
    <w:rsid w:val="00172ADA"/>
    <w:rsid w:val="00184121"/>
    <w:rsid w:val="001842CA"/>
    <w:rsid w:val="00185992"/>
    <w:rsid w:val="00196D23"/>
    <w:rsid w:val="001D0933"/>
    <w:rsid w:val="001F2D96"/>
    <w:rsid w:val="001F6791"/>
    <w:rsid w:val="00206E51"/>
    <w:rsid w:val="00236E1E"/>
    <w:rsid w:val="00240ED2"/>
    <w:rsid w:val="0024283F"/>
    <w:rsid w:val="0028503E"/>
    <w:rsid w:val="002C4BA7"/>
    <w:rsid w:val="002D3817"/>
    <w:rsid w:val="002E3CE1"/>
    <w:rsid w:val="002F0B69"/>
    <w:rsid w:val="002F7E73"/>
    <w:rsid w:val="003007AF"/>
    <w:rsid w:val="003059DE"/>
    <w:rsid w:val="0031404A"/>
    <w:rsid w:val="003230A8"/>
    <w:rsid w:val="003240AA"/>
    <w:rsid w:val="003247C0"/>
    <w:rsid w:val="003404A1"/>
    <w:rsid w:val="00345BF9"/>
    <w:rsid w:val="00350362"/>
    <w:rsid w:val="00365031"/>
    <w:rsid w:val="00373573"/>
    <w:rsid w:val="003843E9"/>
    <w:rsid w:val="00393BCE"/>
    <w:rsid w:val="003B76D6"/>
    <w:rsid w:val="003C16C4"/>
    <w:rsid w:val="003C5C76"/>
    <w:rsid w:val="003D4DF3"/>
    <w:rsid w:val="003D7CBC"/>
    <w:rsid w:val="003E2D28"/>
    <w:rsid w:val="003E54DD"/>
    <w:rsid w:val="004023B0"/>
    <w:rsid w:val="004106D7"/>
    <w:rsid w:val="004161DC"/>
    <w:rsid w:val="00425054"/>
    <w:rsid w:val="00446EA1"/>
    <w:rsid w:val="00473F3E"/>
    <w:rsid w:val="0049260D"/>
    <w:rsid w:val="004D413E"/>
    <w:rsid w:val="004E55F1"/>
    <w:rsid w:val="004F27F3"/>
    <w:rsid w:val="00534F7F"/>
    <w:rsid w:val="005402C1"/>
    <w:rsid w:val="00551B24"/>
    <w:rsid w:val="00570266"/>
    <w:rsid w:val="005842A0"/>
    <w:rsid w:val="005845E3"/>
    <w:rsid w:val="00585A3D"/>
    <w:rsid w:val="00590EA5"/>
    <w:rsid w:val="005A0B70"/>
    <w:rsid w:val="005B5AD0"/>
    <w:rsid w:val="005B63FE"/>
    <w:rsid w:val="005C713E"/>
    <w:rsid w:val="005E2EF5"/>
    <w:rsid w:val="005E6885"/>
    <w:rsid w:val="005F7BAA"/>
    <w:rsid w:val="00611106"/>
    <w:rsid w:val="0061557B"/>
    <w:rsid w:val="0061636C"/>
    <w:rsid w:val="00631875"/>
    <w:rsid w:val="00635A92"/>
    <w:rsid w:val="006400BF"/>
    <w:rsid w:val="0064705C"/>
    <w:rsid w:val="00664408"/>
    <w:rsid w:val="00674143"/>
    <w:rsid w:val="006760A8"/>
    <w:rsid w:val="006A2664"/>
    <w:rsid w:val="006A5011"/>
    <w:rsid w:val="006E3B0C"/>
    <w:rsid w:val="006E6E9B"/>
    <w:rsid w:val="006F5E37"/>
    <w:rsid w:val="007115B2"/>
    <w:rsid w:val="00715C4E"/>
    <w:rsid w:val="00721CA7"/>
    <w:rsid w:val="0073606C"/>
    <w:rsid w:val="0074038F"/>
    <w:rsid w:val="0075616C"/>
    <w:rsid w:val="00772D5B"/>
    <w:rsid w:val="0077795C"/>
    <w:rsid w:val="007902BC"/>
    <w:rsid w:val="007A2EE6"/>
    <w:rsid w:val="007B0127"/>
    <w:rsid w:val="007B033F"/>
    <w:rsid w:val="007D03BD"/>
    <w:rsid w:val="007D4382"/>
    <w:rsid w:val="00807F5C"/>
    <w:rsid w:val="00814A91"/>
    <w:rsid w:val="0083603E"/>
    <w:rsid w:val="00841A2A"/>
    <w:rsid w:val="00872FCA"/>
    <w:rsid w:val="008C0AB9"/>
    <w:rsid w:val="008C501D"/>
    <w:rsid w:val="008D0198"/>
    <w:rsid w:val="008D371C"/>
    <w:rsid w:val="0092531B"/>
    <w:rsid w:val="009273DF"/>
    <w:rsid w:val="00943563"/>
    <w:rsid w:val="00945E42"/>
    <w:rsid w:val="0096367E"/>
    <w:rsid w:val="00976240"/>
    <w:rsid w:val="00983593"/>
    <w:rsid w:val="009B1EEF"/>
    <w:rsid w:val="009C492B"/>
    <w:rsid w:val="009C5107"/>
    <w:rsid w:val="009C5BE5"/>
    <w:rsid w:val="009D63E1"/>
    <w:rsid w:val="009E4E59"/>
    <w:rsid w:val="009F4A0B"/>
    <w:rsid w:val="00A125A4"/>
    <w:rsid w:val="00A13C49"/>
    <w:rsid w:val="00A354CE"/>
    <w:rsid w:val="00A35C1E"/>
    <w:rsid w:val="00A416BE"/>
    <w:rsid w:val="00A44401"/>
    <w:rsid w:val="00A65D62"/>
    <w:rsid w:val="00A71B4C"/>
    <w:rsid w:val="00A84934"/>
    <w:rsid w:val="00AD1844"/>
    <w:rsid w:val="00AE5E05"/>
    <w:rsid w:val="00AF33B3"/>
    <w:rsid w:val="00AF6316"/>
    <w:rsid w:val="00B02129"/>
    <w:rsid w:val="00B06EC8"/>
    <w:rsid w:val="00B138DB"/>
    <w:rsid w:val="00B37CE1"/>
    <w:rsid w:val="00B64799"/>
    <w:rsid w:val="00B723F5"/>
    <w:rsid w:val="00B80EE3"/>
    <w:rsid w:val="00B94075"/>
    <w:rsid w:val="00BB1548"/>
    <w:rsid w:val="00BB1FCF"/>
    <w:rsid w:val="00BC2154"/>
    <w:rsid w:val="00BC36D8"/>
    <w:rsid w:val="00BC7571"/>
    <w:rsid w:val="00BE082B"/>
    <w:rsid w:val="00C2031A"/>
    <w:rsid w:val="00C305C2"/>
    <w:rsid w:val="00C37994"/>
    <w:rsid w:val="00C43756"/>
    <w:rsid w:val="00C65F9E"/>
    <w:rsid w:val="00C751CF"/>
    <w:rsid w:val="00CA0D22"/>
    <w:rsid w:val="00CA11B4"/>
    <w:rsid w:val="00CA48AD"/>
    <w:rsid w:val="00CB1444"/>
    <w:rsid w:val="00CB247B"/>
    <w:rsid w:val="00CC57A4"/>
    <w:rsid w:val="00CD1439"/>
    <w:rsid w:val="00CE4691"/>
    <w:rsid w:val="00D039C4"/>
    <w:rsid w:val="00D10874"/>
    <w:rsid w:val="00D23714"/>
    <w:rsid w:val="00D27C64"/>
    <w:rsid w:val="00D36EA0"/>
    <w:rsid w:val="00D57302"/>
    <w:rsid w:val="00D62C68"/>
    <w:rsid w:val="00D67F3E"/>
    <w:rsid w:val="00D67F62"/>
    <w:rsid w:val="00D71CF6"/>
    <w:rsid w:val="00D844FB"/>
    <w:rsid w:val="00D970FF"/>
    <w:rsid w:val="00DA20BA"/>
    <w:rsid w:val="00DC368A"/>
    <w:rsid w:val="00DD51A4"/>
    <w:rsid w:val="00DE7A16"/>
    <w:rsid w:val="00E01BAD"/>
    <w:rsid w:val="00E13CB5"/>
    <w:rsid w:val="00E21CA1"/>
    <w:rsid w:val="00E25D0A"/>
    <w:rsid w:val="00E35FA6"/>
    <w:rsid w:val="00E36113"/>
    <w:rsid w:val="00E62DB0"/>
    <w:rsid w:val="00E715B6"/>
    <w:rsid w:val="00E87FEE"/>
    <w:rsid w:val="00E95075"/>
    <w:rsid w:val="00E9539E"/>
    <w:rsid w:val="00EA76FF"/>
    <w:rsid w:val="00EC311F"/>
    <w:rsid w:val="00EE0FF8"/>
    <w:rsid w:val="00EE3346"/>
    <w:rsid w:val="00EE403E"/>
    <w:rsid w:val="00EE77B3"/>
    <w:rsid w:val="00F52E34"/>
    <w:rsid w:val="00F73C1B"/>
    <w:rsid w:val="00F92BED"/>
    <w:rsid w:val="00FA2E0F"/>
    <w:rsid w:val="00FA4BC4"/>
    <w:rsid w:val="00FA6DA8"/>
    <w:rsid w:val="00FB1856"/>
    <w:rsid w:val="00FC215F"/>
    <w:rsid w:val="00FE2272"/>
    <w:rsid w:val="00FE61A1"/>
    <w:rsid w:val="00FE74D7"/>
    <w:rsid w:val="00FF3313"/>
    <w:rsid w:val="00FF3333"/>
    <w:rsid w:val="17D15129"/>
    <w:rsid w:val="41336EE1"/>
    <w:rsid w:val="79E65BB3"/>
    <w:rsid w:val="7F0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2CE3"/>
  <w15:docId w15:val="{7F13EBA8-CE0B-47F6-8CCA-C4108A0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link w:val="NoSpacingChar"/>
    <w:uiPriority w:val="1"/>
    <w:qFormat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</w:style>
  <w:style w:type="table" w:customStyle="1" w:styleId="TabloKlavuzuAk1">
    <w:name w:val="Tablo Kılavuzu Açık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Nükhet Kaçar</cp:lastModifiedBy>
  <cp:revision>18</cp:revision>
  <dcterms:created xsi:type="dcterms:W3CDTF">2025-02-20T10:49:00Z</dcterms:created>
  <dcterms:modified xsi:type="dcterms:W3CDTF">2025-05-06T11:43:00Z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CDAA8D8D14F046F0BC692EDF16CC1B0F_13</vt:lpwstr>
  </property>
</Properties>
</file>